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Personal responsibility of the superintendent limited</w:t>
      </w:r>
    </w:p>
    <w:p>
      <w:pPr>
        <w:jc w:val="both"/>
        <w:spacing w:before="100" w:after="100"/>
        <w:ind w:start="360"/>
        <w:ind w:firstLine="360"/>
      </w:pPr>
      <w:r>
        <w:rPr/>
      </w:r>
      <w:r>
        <w:rPr/>
      </w:r>
      <w:r>
        <w:t xml:space="preserve">The superintendent shall not be held legally responsible for any act or failure to act in the premises when such act or failure to act shall have been shown to be the result of good faith.</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Personal responsibility of the superintendent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Personal responsibility of the superintendent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§476. PERSONAL RESPONSIBILITY OF THE SUPERINTENDENT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