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Notification prior to cancellation; restrictions on lapse or termination due to cognitive impairment or functional incapacity</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An insurer that issues Medicare supplement policies shall provide notification to the insured person and another person, if designated by the insured, prior to cancellation of a Medicare supplement policy for nonpayment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100"/>
        <w:ind w:start="360"/>
        <w:ind w:firstLine="360"/>
      </w:pPr>
      <w:r>
        <w:rPr>
          <w:b/>
        </w:rPr>
        <w:t>2</w:t>
        <w:t xml:space="preserve">.  </w:t>
      </w:r>
      <w:r>
        <w:rPr>
          <w:b/>
        </w:rPr>
        <w:t xml:space="preserve">Right to reinstatement.</w:t>
        <w:t xml:space="preserve"> </w:t>
      </w:r>
      <w:r>
        <w:t xml:space="preserve"> </w:t>
      </w:r>
      <w:r>
        <w:t xml:space="preserve">Within 90 days after cancellation, termination or lapse of coverage due to nonpayment of premium, a policyholder, a person authorized to act on behalf of the policyholder or a dependent of the policyholder covered under the policy may request reinstatement of the policy on the basis that the loss of coverage was a result of the policyholder's cognitive impairment or functional incapacity.  An insurer may require a medical demonstration that the policyholder suffered from cognitive impairment or functional incapacity at the time of cancellation, termination or lapse.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p>
    <w:p>
      <w:pPr>
        <w:jc w:val="both"/>
        <w:spacing w:before="100" w:after="0"/>
        <w:ind w:start="360"/>
      </w:pPr>
      <w:r>
        <w:rPr/>
      </w:r>
      <w:r>
        <w:rPr/>
      </w:r>
      <w:r>
        <w:t xml:space="preserve">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requirements of this section. Rules adopted pursuant to this subsection are routine technical rules as defined in </w:t>
      </w:r>
      <w:r>
        <w:t>Title 5, chapter 375, subchapter 2‑A</w:t>
      </w:r>
      <w:r>
        <w:t xml:space="preserve">. The requirements of this section apply to all policies and certificates executed, delivered, issued for delivery, continued or renewed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§5016.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§5016. NOTIFICATION PRIOR TO CANCELLATION; RESTRICTIONS ON LAPSE OR TERMINATION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