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6096</w:t>
        <w:t xml:space="preserve">.  </w:t>
      </w:r>
      <w:r>
        <w:rPr>
          <w:b/>
        </w:rPr>
        <w:t xml:space="preserve">Compulsory associations</w:t>
      </w:r>
    </w:p>
    <w:p>
      <w:pPr>
        <w:jc w:val="both"/>
        <w:spacing w:before="100" w:after="0"/>
        <w:ind w:start="360"/>
        <w:ind w:firstLine="360"/>
      </w:pPr>
      <w:r>
        <w:rPr>
          <w:b/>
        </w:rPr>
        <w:t>1</w:t>
        <w:t xml:space="preserve">.  </w:t>
      </w:r>
      <w:r>
        <w:rPr>
          <w:b/>
        </w:rPr>
        <w:t xml:space="preserve">Financial contribution.</w:t>
        <w:t xml:space="preserve"> </w:t>
      </w:r>
      <w:r>
        <w:t xml:space="preserve"> </w:t>
      </w:r>
      <w:r>
        <w:t xml:space="preserve">No risk retention group may be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the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2</w:t>
        <w:t xml:space="preserve">.  </w:t>
      </w:r>
      <w:r>
        <w:rPr>
          <w:b/>
        </w:rPr>
        <w:t xml:space="preserve">Insurer not authorized.</w:t>
        <w:t xml:space="preserve"> </w:t>
      </w:r>
      <w:r>
        <w:t xml:space="preserve"> </w:t>
      </w:r>
      <w:r>
        <w:t xml:space="preserve">When a purchasing group obtains insurance covering its members' risks from an insurer not authorized in this State or a risk retention group, these risks, wherever resident or located, shall not be covered by any insurance guaranty fund or similar mechanism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Authorized insurer.</w:t>
        <w:t xml:space="preserve"> </w:t>
      </w:r>
      <w:r>
        <w:t xml:space="preserve"> </w:t>
      </w:r>
      <w:r>
        <w:t xml:space="preserve">When a purchasing group obtains insurance covering its members' risks from an insurer authorized in this State, only risks resident or located in this State shall be covered by the Maine Insurance Guaranty Association subject to </w:t>
      </w:r>
      <w:r>
        <w:t>chapter 57,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§6096.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§6096.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§6096.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