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 REQUIREMENTS FOR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