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Withdrawal plan</w:t>
      </w:r>
    </w:p>
    <w:p>
      <w:pPr>
        <w:jc w:val="both"/>
        <w:spacing w:before="100" w:after="100"/>
        <w:ind w:start="360"/>
        <w:ind w:firstLine="360"/>
      </w:pPr>
      <w:r>
        <w:rPr/>
      </w:r>
      <w:r>
        <w:rPr/>
      </w:r>
      <w:r>
        <w:t xml:space="preserve">Any provider who has obtained a certificate of authority from the superintendent and who plans neither to renew existing agreements nor to offer new agreements shall submit a withdrawal plan to the superintendent at least 60 days prior to implementing its proposed plan. The plan shall include, but not be limited to, requirements and procedures for meeting the provider's existing contractual obligations, providing security in the event of a subsequent insolvency and meeting any applicable statutory obligations. The plan shall also comply with any further terms and conditions which are prescribed by rules adopted by the superintendent. The plan shall not be implemented without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[RR 2015, c. 2,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RR 2015, c. 2,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§6204. Withdrawal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Withdrawal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§6204. WITHDRAWAL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