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6213</w:t>
        <w:t xml:space="preserve">.  </w:t>
      </w:r>
      <w:r>
        <w:rPr>
          <w:b/>
        </w:rPr>
        <w:t xml:space="preserve">Actions for damages or equitable relief</w:t>
      </w:r>
    </w:p>
    <w:p>
      <w:pPr>
        <w:jc w:val="both"/>
        <w:spacing w:before="100" w:after="0"/>
        <w:ind w:start="360"/>
        <w:ind w:firstLine="360"/>
      </w:pPr>
      <w:r>
        <w:rPr>
          <w:b/>
        </w:rPr>
        <w:t>1</w:t>
        <w:t xml:space="preserve">.  </w:t>
      </w:r>
      <w:r>
        <w:rPr>
          <w:b/>
        </w:rPr>
        <w:t xml:space="preserve">Action for damages.</w:t>
        <w:t xml:space="preserve"> </w:t>
      </w:r>
      <w:r>
        <w:t xml:space="preserve"> </w:t>
      </w:r>
      <w:r>
        <w:t xml:space="preserve">Any subscriber injured by a violation of this chapter may bring an action for the recovery of damages in any court of competent jurisdiction. In those cases, the court may award reasonable attorneys fees to a subscriber in whose favor a judgment is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2</w:t>
        <w:t xml:space="preserve">.  </w:t>
      </w:r>
      <w:r>
        <w:rPr>
          <w:b/>
        </w:rPr>
        <w:t xml:space="preserve">Equitable relief.</w:t>
        <w:t xml:space="preserve"> </w:t>
      </w:r>
      <w:r>
        <w:t xml:space="preserve"> </w:t>
      </w:r>
      <w:r>
        <w:t xml:space="preserve">Any subscriber injured by a violation of this chapter may institute an action for an appropriate temporary restraining order or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§6213. Actions for damages or equitable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§6213. Actions for damages or equitable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§6213. ACTIONS FOR DAMAGES OR EQUITABLE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