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6224</w:t>
        <w:t xml:space="preserve">.  </w:t>
      </w:r>
      <w:r>
        <w:rPr>
          <w:b/>
        </w:rPr>
        <w:t xml:space="preserve">Removal of records or assets from the State</w:t>
      </w:r>
    </w:p>
    <w:p>
      <w:pPr>
        <w:jc w:val="both"/>
        <w:spacing w:before="100" w:after="100"/>
        <w:ind w:start="360"/>
        <w:ind w:firstLine="360"/>
      </w:pPr>
      <w:r>
        <w:rPr/>
      </w:r>
      <w:r>
        <w:rPr/>
      </w:r>
      <w:r>
        <w:t xml:space="preserve">No records or assets of the provider related to the organization of the facility and the provision of services under the continuing care agreement may be removed from this State by the provider, except that the superintendent may consent in writing to the removal of those records.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§6224. Removal of records or assets from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§6224. Removal of records or assets from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§6224. REMOVAL OF RECORDS OR ASSETS FROM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