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§6452. RISK-BASED CAPITAL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