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6614</w:t>
        <w:t xml:space="preserve">.  </w:t>
      </w:r>
      <w:r>
        <w:rPr>
          <w:b/>
        </w:rPr>
        <w:t xml:space="preserve">Violations</w:t>
      </w:r>
    </w:p>
    <w:p>
      <w:pPr>
        <w:jc w:val="both"/>
        <w:spacing w:before="100" w:after="100"/>
        <w:ind w:start="360"/>
        <w:ind w:firstLine="360"/>
      </w:pPr>
      <w:r>
        <w:rPr/>
      </w:r>
      <w:r>
        <w:rPr/>
      </w:r>
      <w:r>
        <w:t xml:space="preserve">In addition to any other penalties provided for by this Title and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Civil penalty.</w:t>
        <w:t xml:space="preserve"> </w:t>
      </w:r>
      <w:r>
        <w:t xml:space="preserve"> </w:t>
      </w:r>
      <w:r>
        <w:t xml:space="preserve">An arrangement that fails to obtain and maintain a valid approval from the superintendent while operating or maintaining a multiple-employer welfare arrangement is subject to a civil penalty of not less than $5,000 or more than $50,000 for each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Cease and desist order.</w:t>
        <w:t xml:space="preserve"> </w:t>
      </w:r>
      <w:r>
        <w:t xml:space="preserve"> </w:t>
      </w:r>
      <w:r>
        <w:t xml:space="preserve">The superintendent may issue a cease and desist order if the superintendent finds a person operating or maintaining a multiple-employer welfare arrangement without a currently effective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