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6616</w:t>
        <w:t xml:space="preserve">.  </w:t>
      </w:r>
      <w:r>
        <w:rPr>
          <w:b/>
        </w:rPr>
        <w:t xml:space="preserve">Regulatory authority</w:t>
      </w:r>
    </w:p>
    <w:p>
      <w:pPr>
        <w:jc w:val="both"/>
        <w:spacing w:before="100" w:after="100"/>
        <w:ind w:start="360"/>
        <w:ind w:firstLine="360"/>
      </w:pPr>
      <w:r>
        <w:rPr/>
      </w:r>
      <w:r>
        <w:rPr/>
      </w:r>
      <w:r>
        <w:t xml:space="preserve">The superintendent may adopt, pursuant to </w:t>
      </w:r>
      <w:r>
        <w:t>Title 5, chapter 375, subchapter II</w:t>
      </w:r>
      <w:r>
        <w:t xml:space="preserve">, rules that the superintendent determines reasonable and necessary to carry out properly the functions and responsibilities assigned under the laws of this State.  Rules adopted to implement the provisions of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§6616.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§6616.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§6616.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