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§6707. FINANCIAL STATEMENTS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