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6715</w:t>
        <w:t xml:space="preserve">.  </w:t>
      </w:r>
      <w:r>
        <w:rPr>
          <w:b/>
        </w:rPr>
        <w:t xml:space="preserve">Confidential information</w:t>
      </w:r>
    </w:p>
    <w:p>
      <w:pPr>
        <w:jc w:val="both"/>
        <w:spacing w:before="100" w:after="100"/>
        <w:ind w:start="360"/>
        <w:ind w:firstLine="360"/>
      </w:pPr>
      <w:r>
        <w:rPr/>
      </w:r>
      <w:r>
        <w:rPr/>
      </w:r>
      <w:r>
        <w:t xml:space="preserve">All information submitted to the superintendent pursuant to </w:t>
      </w:r>
      <w:r>
        <w:t>section 6702, subsection 3</w:t>
      </w:r>
      <w:r>
        <w:t xml:space="preserve"> and </w:t>
      </w:r>
      <w:r>
        <w:t>section 6724, subsection 3</w:t>
      </w:r>
      <w:r>
        <w:t xml:space="preserve"> is confidential and is not a public record within the meaning of </w:t>
      </w:r>
      <w:r>
        <w:t>Title 1, chapter 13, subchapter 1</w:t>
      </w:r>
      <w:r>
        <w:t xml:space="preserve">.  Each report or statement filed with the superintendent pursuant to </w:t>
      </w:r>
      <w:r>
        <w:t>section 6707</w:t>
      </w:r>
      <w:r>
        <w:t xml:space="preserve">, except those filed by or with respect to industrial insured groups as defined in </w:t>
      </w:r>
      <w:r>
        <w:t>section 6701, subsection 8</w:t>
      </w:r>
      <w:r>
        <w:t xml:space="preserve">, is confidential and is not a public record within the meaning of </w:t>
      </w:r>
      <w:r>
        <w:t>Title 1, chapter 13, subchapter 1</w:t>
      </w:r>
      <w:r>
        <w:t xml:space="preserve">.  The confidential nature of this information does not limit the ability of the superintendent, in the superintendent's discretion, to disclose such information to a public official in another state, as long as the public official agrees in writing to maintain the confidentiality of such information and the laws of the state in which the public official serves designate such information as confidential.</w:t>
      </w:r>
      <w:r>
        <w:t xml:space="preserve">  </w:t>
      </w:r>
      <w:r xmlns:wp="http://schemas.openxmlformats.org/drawingml/2010/wordprocessingDrawing" xmlns:w15="http://schemas.microsoft.com/office/word/2012/wordml">
        <w:rPr>
          <w:rFonts w:ascii="Arial" w:hAnsi="Arial" w:cs="Arial"/>
          <w:sz w:val="22"/>
          <w:szCs w:val="22"/>
        </w:rPr>
        <w:t xml:space="preserve">[PL 2017, c. 169, Pt. G,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§5 (AMD). PL 2017, c. 169, Pt. G,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§6715.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§6715.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§6715.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