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704-A</w:t>
        <w:t xml:space="preserve">.  </w:t>
      </w:r>
      <w:r>
        <w:rPr>
          <w:b/>
        </w:rPr>
        <w:t xml:space="preserve">Health maintenance organization</w:t>
      </w:r>
    </w:p>
    <w:p>
      <w:pPr>
        <w:jc w:val="both"/>
        <w:spacing w:before="100" w:after="100"/>
        <w:ind w:start="360"/>
        <w:ind w:firstLine="360"/>
      </w:pPr>
      <w:r>
        <w:rPr/>
      </w:r>
      <w:r>
        <w:rPr/>
      </w:r>
      <w:r>
        <w:t xml:space="preserve">For purposes of this Title, "health maintenance organization" is defined in </w:t>
      </w:r>
      <w:r>
        <w:t>section 4202‑A,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702, Pt. A,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§A9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§704-A. Health maintenance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§704-A. Health maintenance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§704-A. HEALTH MAINTENANCE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