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957-A</w:t>
        <w:t xml:space="preserve">.  </w:t>
      </w:r>
      <w:r>
        <w:rPr>
          <w:b/>
        </w:rPr>
        <w:t xml:space="preserve">Superintendent's authority to approve certain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insurance company based on then estimates of future experience, or in the case of any plan of life insurance or annuity which is of such a nature that the minimum reserves cannot be determined by the methods described in </w:t>
      </w:r>
      <w:r>
        <w:t>sections 954</w:t>
      </w:r>
      <w:r>
        <w:t xml:space="preserve"> and </w:t>
      </w:r>
      <w:r>
        <w:t>957</w:t>
      </w:r>
      <w:r>
        <w:t xml:space="preserve">, the reserves which are held under any plan of that type must:</w:t>
      </w:r>
    </w:p>
    <w:p>
      <w:pPr>
        <w:jc w:val="both"/>
        <w:spacing w:before="100" w:after="0"/>
        <w:ind w:start="720"/>
      </w:pPr>
      <w:r>
        <w:rPr/>
        <w:t>A</w:t>
        <w:t xml:space="preserve">.  </w:t>
      </w:r>
      <w:r>
        <w:rPr/>
      </w:r>
      <w:r>
        <w:t xml:space="preserve">Be appropriate in relation to the benefits and the pattern of premiums for that plan; and</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720"/>
      </w:pPr>
      <w:r>
        <w:rPr/>
        <w:t>B</w:t>
        <w:t xml:space="preserve">.  </w:t>
      </w:r>
      <w:r>
        <w:rPr/>
      </w:r>
      <w:r>
        <w:t xml:space="preserve">Be computed by a method which is consistent with the principles of this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360"/>
      </w:pPr>
      <w:r>
        <w:rPr/>
      </w:r>
      <w:r>
        <w:rPr/>
      </w:r>
      <w:r>
        <w:t xml:space="preserve">as determined by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§957-A. Superintendent's authority to approve certain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§957-A. Superintendent's authority to approve certain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§957-A. SUPERINTENDENT'S AUTHORITY TO APPROVE CERTAIN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