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CREDIT AND TITLE INSURANCE</w:t>
      </w:r>
    </w:p>
    <w:p>
      <w:pPr>
        <w:jc w:val="center"/>
        <w:ind w:start="360"/>
        <w:spacing w:before="300" w:after="300"/>
      </w:pPr>
      <w:r>
        <w:rPr>
          <w:b/>
        </w:rPr>
        <w:t>SUBCHAPTER</w:t>
        <w:t xml:space="preserve"> </w:t>
        <w:t>1</w:t>
      </w:r>
    </w:p>
    <w:p>
      <w:pPr>
        <w:jc w:val="center"/>
        <w:ind w:start="360"/>
        <w:spacing w:before="300" w:after="300"/>
      </w:pPr>
      <w:r>
        <w:rPr>
          <w:b/>
        </w:rPr>
        <w:t xml:space="preserve">CREDIT LIFE AND ACCIDENT AND HEALTH INSURANCE</w:t>
      </w:r>
    </w:p>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FOREIGN SURETY COMPANIES; CREDIT AND TITLE INSURANCE</w:t>
      </w:r>
    </w:p>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CREDIT AND TITLE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CREDIT AND TITLE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9. CREDIT AND TITLE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