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1459</w:t>
        <w:t xml:space="preserve">.  </w:t>
      </w:r>
      <w:r>
        <w:rPr>
          <w:b/>
        </w:rPr>
        <w:t xml:space="preserve">Lien continues on deceased's property; policy descends to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§1459. Lien continues on deceased's property; policy descends to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§1459. Lien continues on deceased's property; policy descends to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§1459. LIEN CONTINUES ON DECEASED'S PROPERTY; POLICY DESCENDS TO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