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Disputes</w:t>
      </w:r>
    </w:p>
    <w:p>
      <w:pPr>
        <w:jc w:val="both"/>
        <w:spacing w:before="100" w:after="100"/>
        <w:ind w:start="360"/>
        <w:ind w:firstLine="360"/>
      </w:pPr>
      <w:r>
        <w:rPr/>
      </w:r>
      <w:r>
        <w:rPr/>
      </w:r>
      <w:r>
        <w:t xml:space="preserve">Any dispute arising between a corporation subject to this chapter and any provider of health care with which such corporation has a contract for health care may be submitted to the superintendent for the superintendent's decision with respect thereto. Any decision and findings of the superintendent made under this chapter are not a bar to constituted legal procedure for the review of such proceedings in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2019, c. 2, Pt. B,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§7 (AMD). PL 1973, c. 585, §12 (AMD). RR 2019, c. 2, Pt. B,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§2309.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