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2314</w:t>
        <w:t xml:space="preserve">.  </w:t>
      </w:r>
      <w:r>
        <w:rPr>
          <w:b/>
        </w:rPr>
        <w:t xml:space="preserve">Suspension or revocation of certificate of authority</w:t>
      </w:r>
    </w:p>
    <w:p>
      <w:pPr>
        <w:jc w:val="both"/>
        <w:spacing w:before="100" w:after="100"/>
        <w:ind w:start="360"/>
        <w:ind w:firstLine="360"/>
      </w:pPr>
      <w:r>
        <w:rPr/>
      </w:r>
      <w:r>
        <w:rPr/>
      </w:r>
      <w:r>
        <w:t xml:space="preserve">Notwithstanding </w:t>
      </w:r>
      <w:r>
        <w:t>Title 4, chapter 5</w:t>
      </w:r>
      <w:r>
        <w:t xml:space="preserve"> and </w:t>
      </w:r>
      <w:r>
        <w:t>Title 5, section 10051</w:t>
      </w:r>
      <w:r>
        <w:t xml:space="preserve">, the superintendent may suspend or revoke a certificate of authority granted under this chapter for cause at any time pursuant to a hearing held in accordance with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§43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§10 (RPR). PL 1973, c. 585, §12 (AMD). PL 1977, c. 694, §382 (RPR). PL 1997, c. 592, §4 (AMD). PL 1999, c. 547, §B43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§2314. Suspension or revocation of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§2314. Suspension or revocation of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§2314. SUSPENSION OR REVOCATION OF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