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§2329. Equitable health care for substance use disorder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Equitable health care for substance use disorder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§2329. EQUITABLE HEALTH CARE FOR SUBSTANCE USE DISORDER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