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2507</w:t>
        <w:t xml:space="preserve">.  </w:t>
      </w:r>
      <w:r>
        <w:rPr>
          <w:b/>
        </w:rPr>
        <w:t xml:space="preserve">Society reports</w:t>
      </w:r>
    </w:p>
    <w:p>
      <w:pPr>
        <w:jc w:val="both"/>
        <w:spacing w:before="100" w:after="100"/>
        <w:ind w:start="360"/>
        <w:ind w:firstLine="360"/>
      </w:pPr>
      <w:r>
        <w:rPr/>
      </w:r>
      <w:r>
        <w:rPr/>
      </w:r>
      <w:r>
        <w:t xml:space="preserve">Any professional society within this State which takes formal disciplinary action against a member relating to professional ethics, professional incompetence, moral turpitude, or drug or alcohol abuse shall, within 60 days of the action, report in writing to the appropriate board the name of the member, together with pertinent information relating to the action.   The report shall include situations in which membership or privileges have been revoked, suspended, limited or otherwise adversely affected by action of the health care practitioner while the health care practitioner was under investigation or the subject of proceedings and it shall also include situations where membership or privileges have been revoked, suspended, limited or otherwise adversely affected by an act of the health care practitioner in return for the professional society's not conducting or for its ceasing such investigation proceeding.  The report shall include situations under which an individual under societal investigation resigns during that pending investigation.  The failure of any such society to report as required is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1989, c. 462,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1989, c. 462,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§2507. Society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§2507. Society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§2507. SOCIETY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