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  Collection of information regarding lawful firearm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Collection of information regarding lawful firearm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§1510.  COLLECTION OF INFORMATION REGARDING LAWFUL FIREARM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