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w:pPr>
        <w:jc w:val="both"/>
        <w:spacing w:before="100" w:after="0"/>
        <w:ind w:start="720"/>
      </w:pPr>
      <w:r>
        <w:rPr/>
        <w:t>AA</w:t>
        <w:t xml:space="preserve">.  </w:t>
      </w:r>
      <w:r>
        <w:rPr/>
      </w:r>
      <w:r>
        <w:t xml:space="preserve">Who is an applicant for licensure as a psychologist with the State Board of Examiners of Psychologists as required under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§1 (NEW).]</w:t>
      </w:r>
    </w:p>
    <w:p>
      <w:pPr>
        <w:jc w:val="both"/>
        <w:spacing w:before="100" w:after="0"/>
        <w:ind w:start="720"/>
      </w:pPr>
      <w:r>
        <w:rPr/>
        <w:t>BB</w:t>
        <w:t xml:space="preserve">.  </w:t>
      </w:r>
      <w:r>
        <w:rPr/>
      </w:r>
      <w:r>
        <w:t xml:space="preserve">Who is an applicant for licensure as a physical therapist or a physical therapist assistant with the Board of Examiners in Physical Therapy as required under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§§1, 2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w:pPr>
        <w:jc w:val="both"/>
        <w:spacing w:before="100" w:after="0"/>
        <w:ind w:start="720"/>
      </w:pPr>
      <w:r>
        <w:rPr/>
        <w:t>Z</w:t>
        <w:t xml:space="preserve">.  </w:t>
      </w:r>
      <w:r>
        <w:rPr/>
      </w:r>
      <w:r>
        <w:t xml:space="preserve">The State Police shall take or cause to be taken the fingerprints of the person named in </w:t>
      </w:r>
      <w:r>
        <w:t>subsection 1, paragraph AA</w:t>
      </w:r>
      <w:r>
        <w:t xml:space="preserve"> at the request of that person or the State Board of Examiners of Psychologists and upon payment of the fee by that person as required by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§3 (NEW).]</w:t>
      </w:r>
    </w:p>
    <w:p>
      <w:pPr>
        <w:jc w:val="both"/>
        <w:spacing w:before="100" w:after="0"/>
        <w:ind w:start="720"/>
      </w:pPr>
      <w:r>
        <w:rPr/>
        <w:t>AA</w:t>
        <w:t xml:space="preserve">.  </w:t>
      </w:r>
      <w:r>
        <w:rPr/>
      </w:r>
      <w:r>
        <w:t xml:space="preserve">The State Police shall take or cause to be taken the fingerprints of the person named in </w:t>
      </w:r>
      <w:r>
        <w:t>subsection 1, paragraph BB</w:t>
      </w:r>
      <w:r>
        <w:t xml:space="preserve"> at the request of that person or the Board of Examiners in Physical Therapy and upon payment of the fee by that person as required by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§§3, 4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PL 2023, c. 506,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§1542-A.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§1542-A.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§1542-A.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