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Responsibilities of compact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Responsibilities of compact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§1704. RESPONSIBILITIES OF COMPACT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