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§2001-A. Threatening display of or carrying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§2001-A. Threatening display of or carrying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§2001-A. THREATENING DISPLAY OF OR CARRYING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