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2003-A</w:t>
        <w:t xml:space="preserve">.  </w:t>
      </w:r>
      <w:r>
        <w:rPr>
          <w:b/>
        </w:rPr>
        <w:t xml:space="preserve">Duty to inform law enforcement</w:t>
      </w:r>
    </w:p>
    <w:p>
      <w:pPr>
        <w:jc w:val="both"/>
        <w:spacing w:before="100" w:after="100"/>
        <w:ind w:start="360"/>
        <w:ind w:firstLine="360"/>
      </w:pPr>
      <w:r>
        <w:rPr/>
      </w:r>
      <w:r>
        <w:rPr/>
      </w:r>
      <w:r>
        <w:t xml:space="preserve">When an individual who is carrying a concealed handgun pursuant to the authority of this chapter and who does not have a valid permit to carry a concealed handgun that has been issued as provided in this chapter first comes into contact with any law enforcement officer of this State or its political subdivisions or a federal law enforcement officer during the course of any arrest, detainment or routine traffic stop, that individual shall immediately inform that law enforcement officer of the fact that the individual is carrying a concealed handgun.</w:t>
      </w:r>
      <w:r>
        <w:t xml:space="preserve">  </w:t>
      </w:r>
      <w:r xmlns:wp="http://schemas.openxmlformats.org/drawingml/2010/wordprocessingDrawing" xmlns:w15="http://schemas.microsoft.com/office/word/2012/wordml">
        <w:rPr>
          <w:rFonts w:ascii="Arial" w:hAnsi="Arial" w:cs="Arial"/>
          <w:sz w:val="22"/>
          <w:szCs w:val="22"/>
        </w:rPr>
        <w:t xml:space="preserve">[PL 2015, c. 327,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§2003-A. Duty to inform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§2003-A. Duty to inform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§2003-A. DUTY TO INFORM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