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§2155. MISSING CHILDREN INFORMATION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