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699, §11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Technical Building Codes and Standards Board established in </w:t>
      </w:r>
      <w:r>
        <w:t>Title 5, section 12004‑G,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2</w:t>
        <w:t xml:space="preserve">.  </w:t>
      </w:r>
      <w:r>
        <w:rPr>
          <w:b/>
        </w:rPr>
        <w:t xml:space="preserve">Building official.</w:t>
        <w:t xml:space="preserve"> </w:t>
      </w:r>
      <w:r>
        <w:t xml:space="preserve"> </w:t>
      </w:r>
      <w:r>
        <w:t xml:space="preserve">"Building official" means a building official appointed pursuant to </w:t>
      </w:r>
      <w:r>
        <w:t>section 2351‑A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94, §2 (AMD).]</w:t>
      </w:r>
    </w:p>
    <w:p>
      <w:pPr>
        <w:jc w:val="both"/>
        <w:spacing w:before="100" w:after="0"/>
        <w:ind w:start="360"/>
        <w:ind w:firstLine="360"/>
      </w:pPr>
      <w:r>
        <w:rPr>
          <w:b/>
        </w:rPr>
        <w:t>3</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§7 (RP).]</w:t>
      </w:r>
    </w:p>
    <w:p>
      <w:pPr>
        <w:jc w:val="both"/>
        <w:spacing w:before="100" w:after="0"/>
        <w:ind w:start="360"/>
        <w:ind w:firstLine="360"/>
      </w:pPr>
      <w:r>
        <w:rPr>
          <w:b/>
        </w:rPr>
        <w:t>4</w:t>
        <w:t xml:space="preserve">.  </w:t>
      </w:r>
      <w:r>
        <w:rPr>
          <w:b/>
        </w:rPr>
        <w:t xml:space="preserve">Code.</w:t>
        <w:t xml:space="preserve"> </w:t>
      </w:r>
      <w:r>
        <w:t xml:space="preserve"> </w:t>
      </w:r>
      <w:r>
        <w:t xml:space="preserve">"Code" means the Maine Uniform Building and Energy Code adopted pursuant to </w:t>
      </w:r>
      <w:r>
        <w:t>Title 10, chapter 1103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5-A</w:t>
        <w:t xml:space="preserve">.  </w:t>
      </w:r>
      <w:r>
        <w:rPr>
          <w:b/>
        </w:rPr>
        <w:t xml:space="preserve">Division.</w:t>
        <w:t xml:space="preserve"> </w:t>
      </w:r>
      <w:r>
        <w:t xml:space="preserve"> </w:t>
      </w:r>
      <w:r>
        <w:t xml:space="preserve">"Division" means the Division of Building Codes and Standards established in </w:t>
      </w:r>
      <w:r>
        <w:t>section 2372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§8 (NEW).]</w:t>
      </w:r>
    </w:p>
    <w:p>
      <w:pPr>
        <w:jc w:val="both"/>
        <w:spacing w:before="100" w:after="0"/>
        <w:ind w:start="360"/>
        <w:ind w:firstLine="360"/>
      </w:pPr>
      <w:r>
        <w:rPr>
          <w:b/>
        </w:rPr>
        <w:t>6</w:t>
        <w:t xml:space="preserve">.  </w:t>
      </w:r>
      <w:r>
        <w:rPr>
          <w:b/>
        </w:rPr>
        <w:t xml:space="preserve">Third-party inspector.</w:t>
        <w:t xml:space="preserve"> </w:t>
      </w:r>
      <w:r>
        <w:t xml:space="preserve"> </w:t>
      </w:r>
      <w:r>
        <w:t xml:space="preserve">"Third-party inspector" means a person certified by the State to conduct inspections under </w:t>
      </w:r>
      <w:r>
        <w:t>Title 30‑A, section 4451</w:t>
      </w:r>
      <w:r>
        <w:t xml:space="preserve"> for compliance with the code.  A 3rd-party inspector may not hold a pecuniary interest, directly or indirectly, in any building for which the 3rd-party inspector issues an inspection report pursuant to </w:t>
      </w:r>
      <w:r>
        <w:t>section 2373</w:t>
      </w:r>
      <w:r>
        <w:t xml:space="preserve"> and may not serve as a 3rd-party inspector in any municipality where that 3rd-party inspector has been appointed as a building official or code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2011, c. 94, §2 (AMD). PL 2011, c. 365, §9 (AMD). PL 2011, c. 633,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