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§2804-E. In-service law enforcement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§2804-E. In-service law enforcement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§2804-E. IN-SERVICE LAW ENFORCEMENT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