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Uniform forensic examination kit for evidence collection in alleged cases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Uniform forensic examination kit for evidence collection in alleged cases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§2915. UNIFORM FORENSIC EXAMINATION KIT FOR EVIDENCE COLLECTION IN ALLEGED CASES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