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Immunity</w:t>
      </w:r>
    </w:p>
    <w:p>
      <w:pPr>
        <w:jc w:val="both"/>
        <w:spacing w:before="100" w:after="0"/>
        <w:ind w:start="360"/>
        <w:ind w:firstLine="360"/>
      </w:pPr>
      <w:r>
        <w:rPr>
          <w:b/>
        </w:rPr>
        <w:t>1</w:t>
        <w:t xml:space="preserve">.  </w:t>
      </w:r>
      <w:r>
        <w:rPr>
          <w:b/>
        </w:rPr>
        <w:t xml:space="preserve">Governmental entity.</w:t>
        <w:t xml:space="preserve"> </w:t>
      </w:r>
      <w:r>
        <w:t xml:space="preserve"> </w:t>
      </w:r>
      <w:r>
        <w:t xml:space="preserve">Subject to all the limitations and exceptions provided under the Maine Tort Claims Act, </w:t>
      </w:r>
      <w:r>
        <w:t>Title 14, chapter 741</w:t>
      </w:r>
      <w:r>
        <w:t xml:space="preserve">, a government entity is immune from tort liability for property damages, bodily injury or death resulting from acts or omissions occurring in developing, establishing, implementing, maintaining or operating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100"/>
        <w:ind w:start="360"/>
        <w:ind w:firstLine="360"/>
      </w:pPr>
      <w:r>
        <w:rPr>
          <w:b/>
        </w:rPr>
        <w:t>2</w:t>
        <w:t xml:space="preserve">.  </w:t>
      </w:r>
      <w:r>
        <w:rPr>
          <w:b/>
        </w:rPr>
        <w:t xml:space="preserve">Telecommunications providers.</w:t>
        <w:t xml:space="preserve"> </w:t>
      </w:r>
      <w:r>
        <w:t xml:space="preserve"> </w:t>
      </w:r>
      <w:r>
        <w:t xml:space="preserve">A telecommunications provider assisting in the implementation and operation of the statewide E-9-1-1 system, including, but not limited to, the development, establishment and maintenance of the E-9-1-1 system, is subject to tort liability:</w:t>
      </w:r>
    </w:p>
    <w:p>
      <w:pPr>
        <w:jc w:val="both"/>
        <w:spacing w:before="100" w:after="0"/>
        <w:ind w:start="720"/>
      </w:pPr>
      <w:r>
        <w:rPr/>
        <w:t>A</w:t>
        <w:t xml:space="preserve">.  </w:t>
      </w:r>
      <w:r>
        <w:rPr/>
      </w:r>
      <w:r>
        <w:t xml:space="preserve">For property damages, bodily injury or death resulting from any defect in the E-9-1-1 system or inadequacy in the provision of E-9-1-1 service caused by the telecommunications provider's negligent acts or omissions in developing, establishing, implementing, maintaining or operating the E-9-1-1 system, up to a maximum amount for any and all claims arising out of a single occurrence not to exceed $300,000 or the dollar amount that appears in </w:t>
      </w:r>
      <w:r>
        <w:t>Title 14, section 8105, subsection 1</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720"/>
      </w:pPr>
      <w:r>
        <w:rPr/>
        <w:t>B</w:t>
        <w:t xml:space="preserve">.  </w:t>
      </w:r>
      <w:r>
        <w:rPr/>
      </w:r>
      <w:r>
        <w:t xml:space="preserve">For property damages, bodily injury or death resulting from any defect in the E-9-1-1 system or inadequacy in the provision of E-9-1-1 service caused by the telecommunications provider's intentional, willful or reckless acts or omissions in developing, establishing, implementing, maintaining or operating the E-9-1-1 system, without limitation on the amount.</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360"/>
      </w:pPr>
      <w:r>
        <w:rPr/>
      </w:r>
      <w:r>
        <w:rPr/>
      </w:r>
      <w:r>
        <w:t xml:space="preserve">For purposes of this subsection, the term "telecommunications provider" means a local exchange carrier, a commercial mobile service provider, as defined in 47 United States Code, Section 332(d), or an interconnected voice over Internet protocol service provider; an employee of a local exchange carrier, commercial mobile service provider or interconnected voice over Internet protocol service provider acting within the scope of the employee's employment; or an agent of a local exchange carrier, commercial mobile service provider or interconnected voice over Internet protocol service provider acting within the scope of the agent's agency.</w:t>
      </w:r>
    </w:p>
    <w:p>
      <w:pPr>
        <w:jc w:val="both"/>
        <w:spacing w:before="100" w:after="0"/>
        <w:ind w:start="360"/>
      </w:pPr>
      <w:r>
        <w:rPr/>
      </w:r>
      <w:r>
        <w:rPr/>
      </w:r>
      <w:r>
        <w:t xml:space="preserve">For purposes of this subsection, the term "E-9-1-1 system" includes, but is not limited to, the networks, databases and call processing services necessary to provide enhanced 9-1-1 services or enhanced 9-1-1 access-only services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209, §1 (AMD). PL 2007, c. 68, §10 (AMD). PL 2007, c. 504,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§2930.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§2930.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