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REGISTERED APPRENTICESHIP</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center"/>
        <w:ind w:start="360"/>
        <w:spacing w:before="300" w:after="300"/>
      </w:pPr>
      <w:r>
        <w:rPr>
          <w:b/>
        </w:rPr>
        <w:t>SUBCHAPTER</w:t>
        <w:t xml:space="preserve"> </w:t>
        <w:t>2</w:t>
      </w:r>
    </w:p>
    <w:p>
      <w:pPr>
        <w:jc w:val="center"/>
        <w:ind w:start="360"/>
        <w:spacing w:before="300" w:after="300"/>
      </w:pPr>
      <w:r>
        <w:rPr>
          <w:b/>
        </w:rPr>
        <w:t xml:space="preserve">APPRENTICESHIP PROGRAMS FOR RECIPIENTS OF AID TO FAMILIES WITH DEPENDENT CHILDREN</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REGISTERED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REGISTERED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11. REGISTERED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