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Method of mail for required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Method of mail for required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§1052. METHOD OF MAIL FOR REQUIRED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