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§1195. EXTENDED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