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§1198. WORK-SHARING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