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an arbitration panel,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Other factors not confined to the foregoing that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[RR 2023, c. 2, Pt. E, §122 (COR).]</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 hearing must be informal and the rules of evidence for judicial proceedings are not binding.  Any documentary evidence and other information determined relevant by the arbitrator may be received in evidence. The arbitrator may administer oaths and require by subpoena attendance and testimony of witnesses and production of books and records and other evidence relating to the issues presented. The arbitrator has a period of 30 days from the termination of the hearing in which to submit a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§§122, 123 (COR).]</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the mediator-arbitrator may determine, initiate an arbitration proceeding by notifying the parties of the mediator-arbitrator's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§124 (COR).]</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has a period of 30 days from the termination of the hearing in which to submit a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§§124, 125 (COR).]</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must be filed with the board at the offices of its executive director simultaneously with the submissions of the recommendations and award to the parties.  In the event the parties settle their dispute during the arbitration or mediation-arbitration proceeding, the arbitrator, the chair of the arbitration panel or the mediator-arbitrator shall submit a report of the arbitrator's, the chair's or the mediator-arbitrator's activities to the executive director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§126 (COR).]</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RR 2023, c. 2, Pt. E, §§122-126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 Obligation to bargain; methods of resolving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Obligation to bargain; methods of resolving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§1285. OBLIGATION TO BARGAIN; METHODS OF RESOLVING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