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1411-G</w:t>
        <w:t xml:space="preserve">.  </w:t>
      </w:r>
      <w:r>
        <w:rPr>
          <w:b/>
        </w:rPr>
        <w:t xml:space="preserve">Gifts</w:t>
      </w:r>
    </w:p>
    <w:p>
      <w:pPr>
        <w:jc w:val="both"/>
        <w:spacing w:before="100" w:after="100"/>
        <w:ind w:start="360"/>
        <w:ind w:firstLine="360"/>
      </w:pPr>
      <w:r>
        <w:rPr/>
      </w:r>
      <w:r>
        <w:rPr/>
      </w:r>
      <w:r>
        <w:t xml:space="preserve">The commissioner, with the approval of the Governor, may accept and use gifts made unconditionally by will or otherwise for carrying out the purposes of this article.  Gifts made under conditions that in the judgment of the department are proper and consistent with this article may be accepted, with the approval of the Governor, and must be held, invested, reinvested and used in accordance with the conditions of the gift.  All money received as gifts or donations must be deposited in the State Treasury and constitutes a permanent fund to be called the Special Fund for Rehabilitation of People with Disabilities and to be used by the department to defray the expenses of rehabilitation in special cases as determined by the commissioner, including the payment of necessary expenses of persons undergoing training.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§1411-G.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§1411-G.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§1411-G.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