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1412-F</w:t>
        <w:t xml:space="preserve">.  </w:t>
      </w:r>
      <w:r>
        <w:rPr>
          <w:b/>
        </w:rPr>
        <w:t xml:space="preserve">Adoption of a grievance procedure concerning discrimination on the basis of disability</w:t>
      </w:r>
    </w:p>
    <w:p>
      <w:pPr>
        <w:jc w:val="both"/>
        <w:spacing w:before="100" w:after="100"/>
        <w:ind w:start="360"/>
        <w:ind w:firstLine="360"/>
      </w:pPr>
      <w:r>
        <w:rPr/>
      </w:r>
      <w:r>
        <w:rPr/>
      </w:r>
      <w:r>
        <w:t xml:space="preserve">The commissioner shall adopt rules pursuant to </w:t>
      </w:r>
      <w:r>
        <w:t>Title 5, chapter 375, subchapter II</w:t>
      </w:r>
      <w:r>
        <w:t xml:space="preserve"> to create a grievance procedure applicable to all bodies of State Government in accordance with 45 Code of Federal Regulations, Section 84.7 and with 28 Code of Federal Regulations, Section 35.107(b).  To the extent that a grievance procedure adopted under this section conflicts with a grievance procedure otherwise adopted by a state agency to comply with 45 Code of Federal Regulations, Section 84.7, the procedure adopted under this section controls, except in cases of conflict with other federal regulations.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§1412-F. Adoption of a grievance procedure concerning discrimination on the basis of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§1412-F. Adoption of a grievance procedure concerning discrimination on the basis of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§1412-F. ADOPTION OF A GRIEVANCE PROCEDURE CONCERNING DISCRIMINATION ON THE BASIS OF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