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Misuse of lists and records</w:t>
      </w:r>
    </w:p>
    <w:p>
      <w:pPr>
        <w:jc w:val="both"/>
        <w:spacing w:before="100" w:after="100"/>
        <w:ind w:start="360"/>
        <w:ind w:firstLine="360"/>
      </w:pPr>
      <w:r>
        <w:rPr/>
      </w:r>
      <w:r>
        <w:rPr/>
      </w:r>
      <w:r>
        <w:t xml:space="preserve">Except for purposes directly connected with the administration of the rehabilitation program and in accordance with its rules, it is unlawful for a person or individual to solicit, disclose, receive or make use of, authorize, knowingly permit or participate in or acquiesce in the use of a list of names of, or information concerning, individuals applying for or receiving rehabilitation when that list or information is directly or indirectly derived from the records, papers, files or communications of the State or subdivisions of the State or acquired in the course of the performance of official duties.  A person who violates a provision of this section is subject to a fine of not less than $50 nor more than $300 or by imprisonment for not more than 60 days, or both.</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 Misuse of lists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Misuse of lists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 MISUSE OF LISTS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