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Rehabilitation services</w:t>
      </w:r>
    </w:p>
    <w:p>
      <w:pPr>
        <w:jc w:val="both"/>
        <w:spacing w:before="100" w:after="100"/>
        <w:ind w:start="360"/>
        <w:ind w:firstLine="360"/>
      </w:pPr>
      <w:r>
        <w:rPr/>
      </w:r>
      <w:r>
        <w:rPr/>
      </w:r>
      <w:r>
        <w:t xml:space="preserve">The department, under the direction of the Governor, may establish, conduct and maintain rehabilitation work as part of its program of aid and assistance for students with disabilities.  That rehabilitation work must be in cooperation with career and technical education, as provided by </w:t>
      </w:r>
      <w:r>
        <w:t>Title 20‑A,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2005, c. 397, Pt. D, §3 (REV).]</w:t>
      </w:r>
    </w:p>
    <w:p>
      <w:pPr>
        <w:jc w:val="both"/>
        <w:spacing w:before="100" w:after="100"/>
        <w:ind w:start="360"/>
        <w:ind w:firstLine="360"/>
      </w:pPr>
      <w:r>
        <w:rPr/>
      </w:r>
      <w:r>
        <w:rPr/>
      </w:r>
      <w:r>
        <w:t xml:space="preserve">Funds provided for aid and assistance carried on by the department may be used in providing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§1417.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§1417.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