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Policy</w:t>
      </w:r>
    </w:p>
    <w:p>
      <w:pPr>
        <w:jc w:val="both"/>
        <w:spacing w:before="100" w:after="100"/>
        <w:ind w:start="360"/>
        <w:ind w:firstLine="360"/>
      </w:pPr>
      <w:r>
        <w:rPr/>
      </w:r>
      <w:r>
        <w:rPr/>
      </w:r>
      <w:r>
        <w:t xml:space="preserve">It is the policy of this State to encourage and enable deaf and hard-of-hearing persons to participate fully in the social and economic life of this State and to engage in remunerative employment.  The provisions of rights and penalties for denial of those rights, as specified in this subarticle, are not intended to abrogate any actions or penalties provided for violation of human rights, as specified in the Maine Human Rights Act, </w:t>
      </w:r>
      <w:r>
        <w:t>Title 5, chapter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§1420.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