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§2062. PEER SUPPORT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