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 Notice of improper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Notice of improper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§45. NOTICE OF IMPROPER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