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Reports</w:t>
      </w:r>
    </w:p>
    <w:p>
      <w:pPr>
        <w:jc w:val="both"/>
        <w:spacing w:before="100" w:after="100"/>
        <w:ind w:start="360"/>
        <w:ind w:firstLine="360"/>
      </w:pPr>
      <w:r>
        <w:rPr/>
      </w:r>
      <w:r>
        <w:rPr/>
      </w:r>
      <w:r>
        <w:t xml:space="preserve">All reports to the Bureau of Labor Standards involving deaths, injuries and occupational diseases must be available to the injured employee and the employee's survivors or representatives upon written request and upon payment of reasonable cost for the copies.</w:t>
      </w:r>
      <w:r>
        <w:t xml:space="preserve">  </w:t>
      </w:r>
      <w:r xmlns:wp="http://schemas.openxmlformats.org/drawingml/2010/wordprocessingDrawing" xmlns:w15="http://schemas.microsoft.com/office/word/2012/wordml">
        <w:rPr>
          <w:rFonts w:ascii="Arial" w:hAnsi="Arial" w:cs="Arial"/>
          <w:sz w:val="22"/>
          <w:szCs w:val="22"/>
        </w:rPr>
        <w:t xml:space="preserve">[RR 2023, c. 2, Pt. E,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418 (NEW). PL 1975, c. 59, §2 (AMD). PL 1981, c. 168, §6 (AMD). RR 2023, c. 2, Pt. E,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