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Imminent danger</w:t>
      </w:r>
    </w:p>
    <w:p>
      <w:pPr>
        <w:jc w:val="both"/>
        <w:spacing w:before="100" w:after="100"/>
        <w:ind w:start="360"/>
        <w:ind w:firstLine="360"/>
      </w:pPr>
      <w:r>
        <w:rPr/>
      </w:r>
      <w:r>
        <w:rPr/>
      </w:r>
      <w:r>
        <w:t xml:space="preserve">A Superior Court in the county in which the imminent danger is alleged to exist shall have jurisdiction, upon petition of the director, to restrain any conditions or practices in any place of employment subject to </w:t>
      </w:r>
      <w:r>
        <w:t>section 45</w:t>
      </w:r>
      <w:r>
        <w:t xml:space="preserve"> which are such that a danger exists which will reasonably be expected to cause death or serious physical harm immediately or before the imminence of such danger can be eliminated through the enforcement procedures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1975,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 Imminent danger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Imminent danger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 IMMINENT DANGER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