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the director's authorized agent of the violation or danger. Except in cases of imminent danger, any such notice must be in writing, set forth with reasonable particularity the grounds for the notice and be signed by the employee or the employee's representative, and a copy must be provided to the employer or the employer's agent no later than the time of the inspection, except that, upon the request of the person giving such notice, that person's name and the names of individual employees referred to in the notice may not appear in the copy or upon any record published, released or made available in any other respect. If upon the receipt of such notification, the director or the director's authorized agent determines that there are reasonable grounds to believe that a violation or danger exists, the director or the director's authorized agent shall make a special inspection as soon as practicable to determine if a violation or danger exists. If the director or the director's authorized agent determines that there are no reasonable grounds to believe that a violation or danger exists, the director or the director's authorized agent shall notify the employee or representative of the employee in writing of that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E,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RR 2023, c. 2, Pt. E,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 Inspections in response to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Inspections in response to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§50. INSPECTIONS IN RESPONSE TO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