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w:t>
        <w:t xml:space="preserve">.  </w:t>
      </w:r>
      <w:r>
        <w:rPr>
          <w:b/>
        </w:rPr>
        <w:t xml:space="preserve">Discrimination</w:t>
      </w:r>
    </w:p>
    <w:p>
      <w:pPr>
        <w:jc w:val="both"/>
        <w:spacing w:before="100" w:after="100"/>
        <w:ind w:start="360"/>
        <w:ind w:firstLine="360"/>
      </w:pPr>
      <w:r>
        <w:rPr/>
      </w:r>
      <w:r>
        <w:rPr/>
      </w:r>
      <w:r>
        <w:t xml:space="preserve">A person may not discharge or in any manner discriminate against an employee because that  employee has filed any complaint concerning an alleged  occupational safety or health  hazard or has testified or is about to testify in any proceeding relating to employee safety and health or because of the exercise by the employee on behalf of  the employee or others of any right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w:pPr>
        <w:jc w:val="both"/>
        <w:spacing w:before="100" w:after="100"/>
        <w:ind w:start="360"/>
        <w:ind w:firstLine="360"/>
      </w:pPr>
      <w:r>
        <w:rPr/>
      </w:r>
      <w:r>
        <w:rPr/>
      </w:r>
      <w:r>
        <w:t xml:space="preserve">Any employee who believes that the employee has been discharged or otherwise discriminated against by any person in violation of this section may, within 30 days after the alleged violation occurs, file a complaint with the director, alleging discrimination.  Upon receipt of the complaint, the director shall conduct an investigation as the director determines is appropriate. If upon investigation the director determines that the provisions of this chapter have been violated, the director shall bring an action in the Superior Court in the county in which the alleged violation occurred.  In any action, the Superior Court has jurisdiction, for cause shown, to restrain violations of this section and order all appropriate relief, including rehiring or reinstatement of the employee to the employee's former position with back pay.</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w:pPr>
        <w:jc w:val="both"/>
        <w:spacing w:before="100" w:after="100"/>
        <w:ind w:start="360"/>
        <w:ind w:firstLine="360"/>
      </w:pPr>
      <w:r>
        <w:rPr/>
      </w:r>
      <w:r>
        <w:rPr/>
      </w:r>
      <w:r>
        <w:t xml:space="preserve">Within 90 days of the receipt of a complaint filed under this section, the director shall notify the complainant of the director's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95, §3 (NEW). PL 2013, c. 473,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§570.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