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that an employer provides or agrees to provide to the employer's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§16 (COR).]</w:t>
      </w:r>
    </w:p>
    <w:p>
      <w:pPr>
        <w:jc w:val="both"/>
        <w:spacing w:before="100" w:after="0"/>
        <w:ind w:start="360"/>
        <w:ind w:firstLine="360"/>
      </w:pPr>
      <w:r>
        <w:rPr>
          <w:b/>
        </w:rPr>
        <w:t>2</w:t>
        <w:t xml:space="preserve">.  </w:t>
      </w:r>
      <w:r>
        <w:rPr>
          <w:b/>
        </w:rPr>
        <w:t xml:space="preserve">Failure to implement health benefit plan.</w:t>
        <w:t xml:space="preserve"> </w:t>
      </w:r>
      <w:r>
        <w:t xml:space="preserve"> </w:t>
      </w:r>
      <w:r>
        <w:t xml:space="preserve">If an employer fails to implement a health benefit plan that the employer had agreed to provide to that employer's employees, the employer shall notify the employees of the failure to implement the plan as soon as possible after the employer knows that the plan will not be implemented.  The employer is liable for benefits that would have been payable to a covered employee, if the health benefit plan had been in force during the period of time from the date that the employer had agreed to implement the health benefit plan, until the employer gives the employee notice of the employer's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§17 (COR).]</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the person's behalf.  Upon the filing of the statement, the amount claimed in the statement constitutes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[RR 2023, c. 2, Pt. E, §18 (COR).]</w:t>
      </w:r>
    </w:p>
    <w:p>
      <w:pPr>
        <w:jc w:val="both"/>
        <w:spacing w:before="100" w:after="0"/>
        <w:ind w:start="720"/>
      </w:pPr>
      <w:r>
        <w:rPr/>
        <w:t>B</w:t>
        <w:t xml:space="preserve">.  </w:t>
      </w:r>
      <w:r>
        <w:rPr/>
      </w:r>
      <w:r>
        <w:t xml:space="preserve">A lien created under this subsection is void 20 days after the date on which the statement described in paragraph A was filed unless, within the 20-day period, the person claiming the lien or someone on the person's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the person's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the person's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§19 (COR).]</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receiving notice of a lien under paragraph B, give bond, with sufficient sureties, in the amount of the claim to the person claiming the lien.  Within 7 days of receipt of the bond, the person claiming the lien or someone on the person's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§§18-20 (COR).]</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RR 2023, c. 2, Pt. E, §§16-20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§629-B. Employee health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§629-B. EMPLOYEE HEALTH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