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Information to be furnished to railroad employees</w:t>
      </w:r>
    </w:p>
    <w:p>
      <w:pPr>
        <w:jc w:val="both"/>
        <w:spacing w:before="100" w:after="100"/>
        <w:ind w:start="360"/>
      </w:pPr>
      <w:r>
        <w:rPr>
          <w:b/>
        </w:rPr>
        <w:t>(REALLOCATED FROM TITLE 26, SECTION 632)</w:t>
      </w:r>
    </w:p>
    <w:p>
      <w:pPr>
        <w:jc w:val="both"/>
        <w:spacing w:before="100" w:after="0"/>
        <w:ind w:start="360"/>
        <w:ind w:firstLine="360"/>
      </w:pPr>
      <w:r>
        <w:rPr>
          <w:b/>
        </w:rPr>
        <w:t>1</w:t>
        <w:t xml:space="preserve">.  </w:t>
      </w:r>
      <w:r>
        <w:rPr>
          <w:b/>
        </w:rPr>
        <w:t xml:space="preserve">Wage statement.</w:t>
        <w:t xml:space="preserve"> </w:t>
      </w:r>
      <w:r>
        <w:t xml:space="preserve"> </w:t>
      </w:r>
      <w:r>
        <w:t xml:space="preserve">A railroad corporation in the State shall furnish each employee of that corporation with a statement with every payment of wages to that employee, listing accrued total earnings and taxes to date, and further furnish that employee at the same time with a separate listing of that employee's daily wages and how they were computed.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§22 (COR).]</w:t>
      </w:r>
    </w:p>
    <w:p>
      <w:pPr>
        <w:jc w:val="both"/>
        <w:spacing w:before="100" w:after="0"/>
        <w:ind w:start="360"/>
        <w:ind w:firstLine="360"/>
      </w:pPr>
      <w:r>
        <w:rPr>
          <w:b/>
        </w:rPr>
        <w:t>2</w:t>
        <w:t xml:space="preserve">.  </w:t>
      </w:r>
      <w:r>
        <w:rPr>
          <w:b/>
        </w:rPr>
        <w:t xml:space="preserve">Coverage.</w:t>
        <w:t xml:space="preserve"> </w:t>
      </w:r>
      <w:r>
        <w:t xml:space="preserve"> </w:t>
      </w:r>
      <w:r>
        <w:t xml:space="preserve">Only railroad employees who are operating personnel working on a train are covered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w:t>
      </w:r>
    </w:p>
    <w:p>
      <w:pPr>
        <w:jc w:val="both"/>
        <w:spacing w:before="100" w:after="0"/>
        <w:ind w:start="360"/>
        <w:ind w:firstLine="360"/>
      </w:pPr>
      <w:r>
        <w:rPr>
          <w:b/>
        </w:rPr>
        <w:t>3</w:t>
        <w:t xml:space="preserve">.  </w:t>
      </w:r>
      <w:r>
        <w:rPr>
          <w:b/>
        </w:rPr>
        <w:t xml:space="preserve">Penalty.</w:t>
        <w:t xml:space="preserve"> </w:t>
      </w:r>
      <w:r>
        <w:t xml:space="preserve"> </w:t>
      </w:r>
      <w:r>
        <w:t xml:space="preserve">Any person, firm or corporation violating this section commits a civil violation for which a forfeiture of not more than $100 may be adjudged for each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 RR 2023, c. 2, Pt. E,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§633. Information to be furnished to railroad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Information to be furnished to railroad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§633. INFORMATION TO BE FURNISHED TO RAILROAD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