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§685. ACTION TAKEN ON SUBSTANCE USE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