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3, c. 819, §A57 (AMD). PL 1993, c. 600, §A20 (AMD). PL 1997, c. 41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0.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